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pPr>
      <w:r>
        <w:rPr>
          <w:b/>
          <w:color w:val="003366"/>
          <w:sz w:val="24"/>
        </w:rPr>
        <w:t>HWB CLEANING SERVICES LLC</w:t>
        <w:br/>
      </w:r>
      <w:r>
        <w:rPr>
          <w:b/>
          <w:color w:val="003366"/>
          <w:sz w:val="40"/>
        </w:rPr>
        <w:t>MASTER QUALITY MANAGEMENT SYSTEM (QMS) MANUAL</w:t>
      </w:r>
    </w:p>
    <w:p>
      <w:pPr>
        <w:spacing w:after="280"/>
      </w:pPr>
      <w:r>
        <w:rPr>
          <w:color w:val="475569"/>
          <w:sz w:val="20"/>
        </w:rPr>
        <w:t>Standard: ISO 9001:2015  |  Everyday Words Standard (HWB-QMS-1.0 v2.0)</w:t>
      </w:r>
    </w:p>
    <w:tbl>
      <w:tblPr>
        <w:tblW w:type="auto" w:w="0"/>
        <w:jc w:val="center"/>
        <w:tblLayout w:type="fixed"/>
        <w:tblLook w:firstColumn="1" w:firstRow="1" w:lastColumn="0" w:lastRow="0" w:noHBand="0" w:noVBand="1" w:val="04A0"/>
      </w:tblPr>
      <w:tblGrid>
        <w:gridCol w:w="4968"/>
        <w:gridCol w:w="4968"/>
      </w:tblGrid>
      <w:tr>
        <w:tc>
          <w:tcPr>
            <w:tcW w:type="dxa" w:w="3168"/>
            <w:shd w:fill="F1F5F9"/>
            <w:tcMar>
              <w:top w:w="120" w:type="dxa"/>
              <w:bottom w:w="120" w:type="dxa"/>
              <w:left w:w="180" w:type="dxa"/>
              <w:right w:w="180" w:type="dxa"/>
            </w:tcMar>
          </w:tcPr>
          <w:p>
            <w:pPr>
              <w:spacing w:after="0"/>
            </w:pPr>
            <w:r>
              <w:rPr>
                <w:b/>
                <w:color w:val="0F172A"/>
                <w:sz w:val="19"/>
              </w:rPr>
              <w:t>Document Title</w:t>
            </w:r>
          </w:p>
        </w:tc>
        <w:tc>
          <w:tcPr>
            <w:tcW w:type="dxa" w:w="6624"/>
            <w:shd w:fill="FFFFFF"/>
            <w:tcMar>
              <w:top w:w="120" w:type="dxa"/>
              <w:bottom w:w="120" w:type="dxa"/>
              <w:left w:w="180" w:type="dxa"/>
              <w:right w:w="180" w:type="dxa"/>
            </w:tcMar>
          </w:tcPr>
          <w:p>
            <w:pPr>
              <w:spacing w:after="0"/>
            </w:pPr>
            <w:r>
              <w:rPr>
                <w:color w:val="0F172A"/>
                <w:sz w:val="19"/>
              </w:rPr>
              <w:t>Master Quality Management System Manual</w:t>
            </w:r>
          </w:p>
        </w:tc>
      </w:tr>
      <w:tr>
        <w:tc>
          <w:tcPr>
            <w:tcW w:type="dxa" w:w="3168"/>
            <w:shd w:fill="F1F5F9"/>
            <w:tcMar>
              <w:top w:w="120" w:type="dxa"/>
              <w:bottom w:w="120" w:type="dxa"/>
              <w:left w:w="180" w:type="dxa"/>
              <w:right w:w="180" w:type="dxa"/>
            </w:tcMar>
          </w:tcPr>
          <w:p>
            <w:pPr>
              <w:spacing w:after="0"/>
            </w:pPr>
            <w:r>
              <w:rPr>
                <w:b/>
                <w:color w:val="0F172A"/>
                <w:sz w:val="19"/>
              </w:rPr>
              <w:t>Document ID</w:t>
            </w:r>
          </w:p>
        </w:tc>
        <w:tc>
          <w:tcPr>
            <w:tcW w:type="dxa" w:w="6624"/>
            <w:shd w:fill="F8FAFC"/>
            <w:tcMar>
              <w:top w:w="120" w:type="dxa"/>
              <w:bottom w:w="120" w:type="dxa"/>
              <w:left w:w="180" w:type="dxa"/>
              <w:right w:w="180" w:type="dxa"/>
            </w:tcMar>
          </w:tcPr>
          <w:p>
            <w:pPr>
              <w:spacing w:after="0"/>
            </w:pPr>
            <w:r>
              <w:rPr>
                <w:color w:val="0F172A"/>
                <w:sz w:val="19"/>
              </w:rPr>
              <w:t>HWB-QMS-MASTER</w:t>
            </w:r>
          </w:p>
        </w:tc>
      </w:tr>
      <w:tr>
        <w:tc>
          <w:tcPr>
            <w:tcW w:type="dxa" w:w="3168"/>
            <w:shd w:fill="F1F5F9"/>
            <w:tcMar>
              <w:top w:w="120" w:type="dxa"/>
              <w:bottom w:w="120" w:type="dxa"/>
              <w:left w:w="180" w:type="dxa"/>
              <w:right w:w="180" w:type="dxa"/>
            </w:tcMar>
          </w:tcPr>
          <w:p>
            <w:pPr>
              <w:spacing w:after="0"/>
            </w:pPr>
            <w:r>
              <w:rPr>
                <w:b/>
                <w:color w:val="0F172A"/>
                <w:sz w:val="19"/>
              </w:rPr>
              <w:t>Version</w:t>
            </w:r>
          </w:p>
        </w:tc>
        <w:tc>
          <w:tcPr>
            <w:tcW w:type="dxa" w:w="6624"/>
            <w:shd w:fill="FFFFFF"/>
            <w:tcMar>
              <w:top w:w="120" w:type="dxa"/>
              <w:bottom w:w="120" w:type="dxa"/>
              <w:left w:w="180" w:type="dxa"/>
              <w:right w:w="180" w:type="dxa"/>
            </w:tcMar>
          </w:tcPr>
          <w:p>
            <w:pPr>
              <w:spacing w:after="0"/>
            </w:pPr>
            <w:r>
              <w:rPr>
                <w:color w:val="0F172A"/>
                <w:sz w:val="19"/>
              </w:rPr>
              <w:t>3.1.0 (Enterprise Hardening &amp; Sensitive PII Vault Protocol)</w:t>
            </w:r>
          </w:p>
        </w:tc>
      </w:tr>
      <w:tr>
        <w:tc>
          <w:tcPr>
            <w:tcW w:type="dxa" w:w="3168"/>
            <w:shd w:fill="F1F5F9"/>
            <w:tcMar>
              <w:top w:w="120" w:type="dxa"/>
              <w:bottom w:w="120" w:type="dxa"/>
              <w:left w:w="180" w:type="dxa"/>
              <w:right w:w="180" w:type="dxa"/>
            </w:tcMar>
          </w:tcPr>
          <w:p>
            <w:pPr>
              <w:spacing w:after="0"/>
            </w:pPr>
            <w:r>
              <w:rPr>
                <w:b/>
                <w:color w:val="0F172A"/>
                <w:sz w:val="19"/>
              </w:rPr>
              <w:t>Status</w:t>
            </w:r>
          </w:p>
        </w:tc>
        <w:tc>
          <w:tcPr>
            <w:tcW w:type="dxa" w:w="6624"/>
            <w:shd w:fill="F8FAFC"/>
            <w:tcMar>
              <w:top w:w="120" w:type="dxa"/>
              <w:bottom w:w="120" w:type="dxa"/>
              <w:left w:w="180" w:type="dxa"/>
              <w:right w:w="180" w:type="dxa"/>
            </w:tcMar>
          </w:tcPr>
          <w:p>
            <w:pPr>
              <w:spacing w:after="0"/>
            </w:pPr>
            <w:r>
              <w:rPr>
                <w:b/>
                <w:color w:val="16A34A"/>
                <w:sz w:val="19"/>
              </w:rPr>
              <w:t>APPROVED (100% ISO 9001:2015 Compliant)</w:t>
            </w:r>
          </w:p>
        </w:tc>
      </w:tr>
      <w:tr>
        <w:tc>
          <w:tcPr>
            <w:tcW w:type="dxa" w:w="3168"/>
            <w:shd w:fill="F1F5F9"/>
            <w:tcMar>
              <w:top w:w="120" w:type="dxa"/>
              <w:bottom w:w="120" w:type="dxa"/>
              <w:left w:w="180" w:type="dxa"/>
              <w:right w:w="180" w:type="dxa"/>
            </w:tcMar>
          </w:tcPr>
          <w:p>
            <w:pPr>
              <w:spacing w:after="0"/>
            </w:pPr>
            <w:r>
              <w:rPr>
                <w:b/>
                <w:color w:val="0F172A"/>
                <w:sz w:val="19"/>
              </w:rPr>
              <w:t>Author</w:t>
            </w:r>
          </w:p>
        </w:tc>
        <w:tc>
          <w:tcPr>
            <w:tcW w:type="dxa" w:w="6624"/>
            <w:shd w:fill="FFFFFF"/>
            <w:tcMar>
              <w:top w:w="120" w:type="dxa"/>
              <w:bottom w:w="120" w:type="dxa"/>
              <w:left w:w="180" w:type="dxa"/>
              <w:right w:w="180" w:type="dxa"/>
            </w:tcMar>
          </w:tcPr>
          <w:p>
            <w:pPr>
              <w:spacing w:after="0"/>
            </w:pPr>
            <w:r>
              <w:rPr>
                <w:color w:val="0F172A"/>
                <w:sz w:val="19"/>
              </w:rPr>
              <w:t>George, Systems Architect (mbB, Senior ISO 9001 Auditor)</w:t>
            </w:r>
          </w:p>
        </w:tc>
      </w:tr>
      <w:tr>
        <w:tc>
          <w:tcPr>
            <w:tcW w:type="dxa" w:w="3168"/>
            <w:shd w:fill="F1F5F9"/>
            <w:tcMar>
              <w:top w:w="120" w:type="dxa"/>
              <w:bottom w:w="120" w:type="dxa"/>
              <w:left w:w="180" w:type="dxa"/>
              <w:right w:w="180" w:type="dxa"/>
            </w:tcMar>
          </w:tcPr>
          <w:p>
            <w:pPr>
              <w:spacing w:after="0"/>
            </w:pPr>
            <w:r>
              <w:rPr>
                <w:b/>
                <w:color w:val="0F172A"/>
                <w:sz w:val="19"/>
              </w:rPr>
              <w:t>Approved By</w:t>
            </w:r>
          </w:p>
        </w:tc>
        <w:tc>
          <w:tcPr>
            <w:tcW w:type="dxa" w:w="6624"/>
            <w:shd w:fill="F8FAFC"/>
            <w:tcMar>
              <w:top w:w="120" w:type="dxa"/>
              <w:bottom w:w="120" w:type="dxa"/>
              <w:left w:w="180" w:type="dxa"/>
              <w:right w:w="180" w:type="dxa"/>
            </w:tcMar>
          </w:tcPr>
          <w:p>
            <w:pPr>
              <w:spacing w:after="0"/>
            </w:pPr>
            <w:r>
              <w:rPr>
                <w:color w:val="0F172A"/>
                <w:sz w:val="19"/>
              </w:rPr>
              <w:t>Humberto Dominguez, Chief Executive Officer</w:t>
            </w:r>
          </w:p>
        </w:tc>
      </w:tr>
      <w:tr>
        <w:tc>
          <w:tcPr>
            <w:tcW w:type="dxa" w:w="3168"/>
            <w:shd w:fill="F1F5F9"/>
            <w:tcMar>
              <w:top w:w="120" w:type="dxa"/>
              <w:bottom w:w="120" w:type="dxa"/>
              <w:left w:w="180" w:type="dxa"/>
              <w:right w:w="180" w:type="dxa"/>
            </w:tcMar>
          </w:tcPr>
          <w:p>
            <w:pPr>
              <w:spacing w:after="0"/>
            </w:pPr>
            <w:r>
              <w:rPr>
                <w:b/>
                <w:color w:val="0F172A"/>
                <w:sz w:val="19"/>
              </w:rPr>
              <w:t>Effective Date</w:t>
            </w:r>
          </w:p>
        </w:tc>
        <w:tc>
          <w:tcPr>
            <w:tcW w:type="dxa" w:w="6624"/>
            <w:shd w:fill="FFFFFF"/>
            <w:tcMar>
              <w:top w:w="120" w:type="dxa"/>
              <w:bottom w:w="120" w:type="dxa"/>
              <w:left w:w="180" w:type="dxa"/>
              <w:right w:w="180" w:type="dxa"/>
            </w:tcMar>
          </w:tcPr>
          <w:p>
            <w:pPr>
              <w:spacing w:after="0"/>
            </w:pPr>
            <w:r>
              <w:rPr>
                <w:color w:val="0F172A"/>
                <w:sz w:val="19"/>
              </w:rPr>
              <w:t>09/21/2026</w:t>
            </w:r>
          </w:p>
        </w:tc>
      </w:tr>
      <w:tr>
        <w:tc>
          <w:tcPr>
            <w:tcW w:type="dxa" w:w="3168"/>
            <w:shd w:fill="F1F5F9"/>
            <w:tcMar>
              <w:top w:w="120" w:type="dxa"/>
              <w:bottom w:w="120" w:type="dxa"/>
              <w:left w:w="180" w:type="dxa"/>
              <w:right w:w="180" w:type="dxa"/>
            </w:tcMar>
          </w:tcPr>
          <w:p>
            <w:pPr>
              <w:spacing w:after="0"/>
            </w:pPr>
            <w:r>
              <w:rPr>
                <w:b/>
                <w:color w:val="0F172A"/>
                <w:sz w:val="19"/>
              </w:rPr>
              <w:t>Governing Standard</w:t>
            </w:r>
          </w:p>
        </w:tc>
        <w:tc>
          <w:tcPr>
            <w:tcW w:type="dxa" w:w="6624"/>
            <w:shd w:fill="F8FAFC"/>
            <w:tcMar>
              <w:top w:w="120" w:type="dxa"/>
              <w:bottom w:w="120" w:type="dxa"/>
              <w:left w:w="180" w:type="dxa"/>
              <w:right w:w="180" w:type="dxa"/>
            </w:tcMar>
          </w:tcPr>
          <w:p>
            <w:pPr>
              <w:spacing w:after="0"/>
            </w:pPr>
            <w:r>
              <w:rPr>
                <w:color w:val="0F172A"/>
                <w:sz w:val="19"/>
              </w:rPr>
              <w:t>ISO 9001:2015 (Clauses 1.0 through 10.0)</w:t>
            </w:r>
          </w:p>
        </w:tc>
      </w:tr>
    </w:tbl>
    <w:p>
      <w:pPr>
        <w:spacing w:after="240"/>
      </w:pPr>
    </w:p>
    <w:p>
      <w:pPr>
        <w:pStyle w:val="Heading1"/>
      </w:pPr>
      <w:r>
        <w:rPr>
          <w:color w:val="003366"/>
        </w:rPr>
        <w:t>1.0 Introduction &amp; Company Overview</w:t>
      </w:r>
    </w:p>
    <w:p>
      <w:pPr>
        <w:spacing w:line="276" w:lineRule="auto"/>
      </w:pPr>
      <w:r>
        <w:t>This Quality Management System Manual defines the operational policies, procedures, and quality standards for HWB Cleaning Services LLC. It serves as our official blueprint to ensure all commercial cleaning, post-construction sanitization, institutional facility services, and technology workflows meet the international requirements of ISO 9001:2015.</w:t>
        <w:br/>
        <w:br/>
        <w:t>HWB Cleaning Services LLC operates across Texas metropolitan areas, managing over 516,785 square feet of high-stakes public infrastructure, regional facilities, daycare centers, and corporate office environments. Every workflow is designed to ensure zero defects, protect worker safety, and deliver repeatable clinical quality.</w:t>
      </w:r>
    </w:p>
    <w:p>
      <w:pPr>
        <w:pStyle w:val="Heading1"/>
      </w:pPr>
      <w:r>
        <w:rPr>
          <w:color w:val="003366"/>
        </w:rPr>
        <w:t>2.0 Universal Mandates (2026 Baseline)</w:t>
      </w:r>
    </w:p>
    <w:p>
      <w:pPr>
        <w:pStyle w:val="ListBullet"/>
      </w:pPr>
      <w:r>
        <w:rPr>
          <w:b/>
        </w:rPr>
        <w:t xml:space="preserve">Physical Truth (Zero Synthetic Data): </w:t>
      </w:r>
      <w:r>
        <w:t>All reports, telemetry, customer files, and audit logs must represent verified physical facts. Fabricated or placeholder data is strictly prohibited across all databases.</w:t>
      </w:r>
    </w:p>
    <w:p>
      <w:pPr>
        <w:pStyle w:val="ListBullet"/>
      </w:pPr>
      <w:r>
        <w:rPr>
          <w:b/>
        </w:rPr>
        <w:t xml:space="preserve">Everyday Words Standard (HWB-QMS-1.0 v2.0): </w:t>
      </w:r>
      <w:r>
        <w:t>All customer-facing documents, technician work instructions, and backoffice manuals must use plain, clear language suitable for a 20-year-old reading level. Technical jargon is eliminated to prevent miscommunication.</w:t>
      </w:r>
    </w:p>
    <w:p>
      <w:pPr>
        <w:pStyle w:val="ListBullet"/>
      </w:pPr>
      <w:r>
        <w:rPr>
          <w:b/>
        </w:rPr>
        <w:t xml:space="preserve">Pre-Handover Empirical Verification: </w:t>
      </w:r>
      <w:r>
        <w:t>All systems, code changes, and clean work areas must be tested and physically verified before turning over to clients or executive leadership.</w:t>
      </w:r>
    </w:p>
    <w:p>
      <w:pPr>
        <w:pStyle w:val="ListBullet"/>
      </w:pPr>
      <w:r>
        <w:rPr>
          <w:b/>
        </w:rPr>
        <w:t xml:space="preserve">Activity Tracking &amp; Neural Persistence: </w:t>
      </w:r>
      <w:r>
        <w:t>Every operational decision, friction log, and quality inspection must be logged to our central database for permanent traceability.</w:t>
      </w:r>
    </w:p>
    <w:p>
      <w:pPr>
        <w:pStyle w:val="Heading1"/>
      </w:pPr>
      <w:r>
        <w:rPr>
          <w:color w:val="003366"/>
        </w:rPr>
        <w:t>3.0 Terms &amp; Definitions (Everyday Words)</w:t>
      </w:r>
    </w:p>
    <w:p>
      <w:pPr>
        <w:pStyle w:val="ListBullet"/>
      </w:pPr>
      <w:r>
        <w:rPr>
          <w:b/>
        </w:rPr>
        <w:t xml:space="preserve">Quality Management System (QMS): </w:t>
      </w:r>
      <w:r>
        <w:t>The organized collection of policies, procedures, and checks that ensure our cleaning services consistently satisfy clients and meet state standards.</w:t>
      </w:r>
    </w:p>
    <w:p>
      <w:pPr>
        <w:pStyle w:val="ListBullet"/>
      </w:pPr>
      <w:r>
        <w:rPr>
          <w:b/>
        </w:rPr>
        <w:t xml:space="preserve">Standard Operating Procedure (SOP): </w:t>
      </w:r>
      <w:r>
        <w:t>Step-by-step written instructions that guide technicians to perform a routine task safely and with zero defects.</w:t>
      </w:r>
    </w:p>
    <w:p>
      <w:pPr>
        <w:pStyle w:val="ListBullet"/>
      </w:pPr>
      <w:r>
        <w:rPr>
          <w:b/>
        </w:rPr>
        <w:t xml:space="preserve">Corrective Action Request (CAR): </w:t>
      </w:r>
      <w:r>
        <w:t>A formal investigation and fix triggered whenever a mistake, quality gap, or equipment breakdown occurs.</w:t>
      </w:r>
    </w:p>
    <w:p>
      <w:pPr>
        <w:pStyle w:val="ListBullet"/>
      </w:pPr>
      <w:r>
        <w:rPr>
          <w:b/>
        </w:rPr>
        <w:t xml:space="preserve">Non-Conformance: </w:t>
      </w:r>
      <w:r>
        <w:t>Any service delivery, chemical use, or safety practice that fails to meet written specifications.</w:t>
      </w:r>
    </w:p>
    <w:p>
      <w:pPr>
        <w:pStyle w:val="Heading1"/>
      </w:pPr>
      <w:r>
        <w:rPr>
          <w:color w:val="003366"/>
        </w:rPr>
        <w:t>4.0 Context of the Organization (Clause 4)</w:t>
      </w:r>
    </w:p>
    <w:p>
      <w:r>
        <w:t>HWB monitors external economic trends, regulatory updates from OSHA and the Texas Department of State Health Services (DSHS), and regional commercial construction pipelines. The QMS encompasses all commercial janitorial cleaning, institutional maintenance, construction final cleaning, specialized high-stakes sanitation, and digital backoffice operations conducted throughout Texas.</w:t>
      </w:r>
    </w:p>
    <w:p>
      <w:pPr>
        <w:pStyle w:val="Heading2"/>
      </w:pPr>
      <w:r>
        <w:t>4.2 Interested Parties Matrix</w:t>
      </w:r>
    </w:p>
    <w:tbl>
      <w:tblPr>
        <w:tblW w:type="auto" w:w="0"/>
        <w:jc w:val="center"/>
        <w:tblLook w:firstColumn="1" w:firstRow="1" w:lastColumn="0" w:lastRow="0" w:noHBand="0" w:noVBand="1" w:val="04A0"/>
      </w:tblPr>
      <w:tblGrid>
        <w:gridCol w:w="3312"/>
        <w:gridCol w:w="3312"/>
        <w:gridCol w:w="3312"/>
      </w:tblGrid>
      <w:tr>
        <w:tc>
          <w:tcPr>
            <w:tcW w:type="dxa" w:w="3312"/>
            <w:shd w:fill="003366"/>
            <w:tcMar>
              <w:top w:w="120" w:type="dxa"/>
              <w:bottom w:w="120" w:type="dxa"/>
              <w:left w:w="180" w:type="dxa"/>
              <w:right w:w="180" w:type="dxa"/>
            </w:tcMar>
          </w:tcPr>
          <w:p>
            <w:r>
              <w:rPr>
                <w:b/>
                <w:color w:val="FFFFFF"/>
                <w:sz w:val="18"/>
              </w:rPr>
              <w:t>Interested Party</w:t>
            </w:r>
          </w:p>
        </w:tc>
        <w:tc>
          <w:tcPr>
            <w:tcW w:type="dxa" w:w="3312"/>
            <w:shd w:fill="003366"/>
            <w:tcMar>
              <w:top w:w="120" w:type="dxa"/>
              <w:bottom w:w="120" w:type="dxa"/>
              <w:left w:w="180" w:type="dxa"/>
              <w:right w:w="180" w:type="dxa"/>
            </w:tcMar>
          </w:tcPr>
          <w:p>
            <w:r>
              <w:rPr>
                <w:b/>
                <w:color w:val="FFFFFF"/>
                <w:sz w:val="18"/>
              </w:rPr>
              <w:t>Core Requirements</w:t>
            </w:r>
          </w:p>
        </w:tc>
        <w:tc>
          <w:tcPr>
            <w:tcW w:type="dxa" w:w="3312"/>
            <w:shd w:fill="003366"/>
            <w:tcMar>
              <w:top w:w="120" w:type="dxa"/>
              <w:bottom w:w="120" w:type="dxa"/>
              <w:left w:w="180" w:type="dxa"/>
              <w:right w:w="180" w:type="dxa"/>
            </w:tcMar>
          </w:tcPr>
          <w:p>
            <w:r>
              <w:rPr>
                <w:b/>
                <w:color w:val="FFFFFF"/>
                <w:sz w:val="18"/>
              </w:rPr>
              <w:t>How HWB Guarantees Compliance</w:t>
            </w:r>
          </w:p>
        </w:tc>
      </w:tr>
      <w:tr>
        <w:tc>
          <w:tcPr>
            <w:tcW w:type="dxa" w:w="3312"/>
            <w:shd w:fill="FFFFFF"/>
            <w:tcMar>
              <w:top w:w="120" w:type="dxa"/>
              <w:bottom w:w="120" w:type="dxa"/>
              <w:left w:w="180" w:type="dxa"/>
              <w:right w:w="180" w:type="dxa"/>
            </w:tcMar>
          </w:tcPr>
          <w:p>
            <w:r>
              <w:rPr>
                <w:b/>
                <w:sz w:val="17"/>
              </w:rPr>
              <w:t>Clients &amp; Facility Directors</w:t>
            </w:r>
          </w:p>
        </w:tc>
        <w:tc>
          <w:tcPr>
            <w:tcW w:type="dxa" w:w="3312"/>
            <w:shd w:fill="FFFFFF"/>
            <w:tcMar>
              <w:top w:w="120" w:type="dxa"/>
              <w:bottom w:w="120" w:type="dxa"/>
              <w:left w:w="180" w:type="dxa"/>
              <w:right w:w="180" w:type="dxa"/>
            </w:tcMar>
          </w:tcPr>
          <w:p>
            <w:r>
              <w:rPr>
                <w:sz w:val="17"/>
              </w:rPr>
              <w:t>Clean, sanitized, secure buildings; reliable schedules; prompt communication.</w:t>
            </w:r>
          </w:p>
        </w:tc>
        <w:tc>
          <w:tcPr>
            <w:tcW w:type="dxa" w:w="3312"/>
            <w:shd w:fill="FFFFFF"/>
            <w:tcMar>
              <w:top w:w="120" w:type="dxa"/>
              <w:bottom w:w="120" w:type="dxa"/>
              <w:left w:w="180" w:type="dxa"/>
              <w:right w:w="180" w:type="dxa"/>
            </w:tcMar>
          </w:tcPr>
          <w:p>
            <w:r>
              <w:rPr>
                <w:sz w:val="17"/>
              </w:rPr>
              <w:t>Digital Work Orders, Scope of Work engines, supervisor sign-offs, &lt;24h issue response.</w:t>
            </w:r>
          </w:p>
        </w:tc>
      </w:tr>
      <w:tr>
        <w:tc>
          <w:tcPr>
            <w:tcW w:type="dxa" w:w="3312"/>
            <w:shd w:fill="F8FAFC"/>
            <w:tcMar>
              <w:top w:w="120" w:type="dxa"/>
              <w:bottom w:w="120" w:type="dxa"/>
              <w:left w:w="180" w:type="dxa"/>
              <w:right w:w="180" w:type="dxa"/>
            </w:tcMar>
          </w:tcPr>
          <w:p>
            <w:r>
              <w:rPr>
                <w:b/>
                <w:sz w:val="17"/>
              </w:rPr>
              <w:t>Public Agencies (NTTA, Collin College)</w:t>
            </w:r>
          </w:p>
        </w:tc>
        <w:tc>
          <w:tcPr>
            <w:tcW w:type="dxa" w:w="3312"/>
            <w:shd w:fill="F8FAFC"/>
            <w:tcMar>
              <w:top w:w="120" w:type="dxa"/>
              <w:bottom w:w="120" w:type="dxa"/>
              <w:left w:w="180" w:type="dxa"/>
              <w:right w:w="180" w:type="dxa"/>
            </w:tcMar>
          </w:tcPr>
          <w:p>
            <w:r>
              <w:rPr>
                <w:sz w:val="17"/>
              </w:rPr>
              <w:t>Strict badging, background checks, non-disclosure, certified safety plans.</w:t>
            </w:r>
          </w:p>
        </w:tc>
        <w:tc>
          <w:tcPr>
            <w:tcW w:type="dxa" w:w="3312"/>
            <w:shd w:fill="F8FAFC"/>
            <w:tcMar>
              <w:top w:w="120" w:type="dxa"/>
              <w:bottom w:w="120" w:type="dxa"/>
              <w:left w:w="180" w:type="dxa"/>
              <w:right w:w="180" w:type="dxa"/>
            </w:tcMar>
          </w:tcPr>
          <w:p>
            <w:r>
              <w:rPr>
                <w:sz w:val="17"/>
              </w:rPr>
              <w:t>HWB-EHS-003 Institutional Safety Plan, daily sign-in sheets, badging verification.</w:t>
            </w:r>
          </w:p>
        </w:tc>
      </w:tr>
      <w:tr>
        <w:tc>
          <w:tcPr>
            <w:tcW w:type="dxa" w:w="3312"/>
            <w:shd w:fill="FFFFFF"/>
            <w:tcMar>
              <w:top w:w="120" w:type="dxa"/>
              <w:bottom w:w="120" w:type="dxa"/>
              <w:left w:w="180" w:type="dxa"/>
              <w:right w:w="180" w:type="dxa"/>
            </w:tcMar>
          </w:tcPr>
          <w:p>
            <w:r>
              <w:rPr>
                <w:b/>
                <w:sz w:val="17"/>
              </w:rPr>
              <w:t>Cleaning Technicians &amp; Crew Leads</w:t>
            </w:r>
          </w:p>
        </w:tc>
        <w:tc>
          <w:tcPr>
            <w:tcW w:type="dxa" w:w="3312"/>
            <w:shd w:fill="FFFFFF"/>
            <w:tcMar>
              <w:top w:w="120" w:type="dxa"/>
              <w:bottom w:w="120" w:type="dxa"/>
              <w:left w:w="180" w:type="dxa"/>
              <w:right w:w="180" w:type="dxa"/>
            </w:tcMar>
          </w:tcPr>
          <w:p>
            <w:r>
              <w:rPr>
                <w:sz w:val="17"/>
              </w:rPr>
              <w:t>Safe working conditions, proper PPE, clear instructions, fair compensation.</w:t>
            </w:r>
          </w:p>
        </w:tc>
        <w:tc>
          <w:tcPr>
            <w:tcW w:type="dxa" w:w="3312"/>
            <w:shd w:fill="FFFFFF"/>
            <w:tcMar>
              <w:top w:w="120" w:type="dxa"/>
              <w:bottom w:w="120" w:type="dxa"/>
              <w:left w:w="180" w:type="dxa"/>
              <w:right w:w="180" w:type="dxa"/>
            </w:tcMar>
          </w:tcPr>
          <w:p>
            <w:r>
              <w:rPr>
                <w:sz w:val="17"/>
              </w:rPr>
              <w:t>Job Hazard Analyses (JHAs), chemical Safety Data Sheets (SDS), ergonomic training.</w:t>
            </w:r>
          </w:p>
        </w:tc>
      </w:tr>
      <w:tr>
        <w:tc>
          <w:tcPr>
            <w:tcW w:type="dxa" w:w="3312"/>
            <w:shd w:fill="F8FAFC"/>
            <w:tcMar>
              <w:top w:w="120" w:type="dxa"/>
              <w:bottom w:w="120" w:type="dxa"/>
              <w:left w:w="180" w:type="dxa"/>
              <w:right w:w="180" w:type="dxa"/>
            </w:tcMar>
          </w:tcPr>
          <w:p>
            <w:r>
              <w:rPr>
                <w:b/>
                <w:sz w:val="17"/>
              </w:rPr>
              <w:t>Regulators (OSHA, TCEQ, Texas DSHS)</w:t>
            </w:r>
          </w:p>
        </w:tc>
        <w:tc>
          <w:tcPr>
            <w:tcW w:type="dxa" w:w="3312"/>
            <w:shd w:fill="F8FAFC"/>
            <w:tcMar>
              <w:top w:w="120" w:type="dxa"/>
              <w:bottom w:w="120" w:type="dxa"/>
              <w:left w:w="180" w:type="dxa"/>
              <w:right w:w="180" w:type="dxa"/>
            </w:tcMar>
          </w:tcPr>
          <w:p>
            <w:r>
              <w:rPr>
                <w:sz w:val="17"/>
              </w:rPr>
              <w:t>Workplace safety, chemical disposal compliance, hazard communication.</w:t>
            </w:r>
          </w:p>
        </w:tc>
        <w:tc>
          <w:tcPr>
            <w:tcW w:type="dxa" w:w="3312"/>
            <w:shd w:fill="F8FAFC"/>
            <w:tcMar>
              <w:top w:w="120" w:type="dxa"/>
              <w:bottom w:w="120" w:type="dxa"/>
              <w:left w:w="180" w:type="dxa"/>
              <w:right w:w="180" w:type="dxa"/>
            </w:tcMar>
          </w:tcPr>
          <w:p>
            <w:r>
              <w:rPr>
                <w:sz w:val="17"/>
              </w:rPr>
              <w:t>HWB-EHS-001 Master Safety Manual, OSHA 300 logs, certified training records.</w:t>
            </w:r>
          </w:p>
        </w:tc>
      </w:tr>
      <w:tr>
        <w:tc>
          <w:tcPr>
            <w:tcW w:type="dxa" w:w="3312"/>
            <w:shd w:fill="FFFFFF"/>
            <w:tcMar>
              <w:top w:w="120" w:type="dxa"/>
              <w:bottom w:w="120" w:type="dxa"/>
              <w:left w:w="180" w:type="dxa"/>
              <w:right w:w="180" w:type="dxa"/>
            </w:tcMar>
          </w:tcPr>
          <w:p>
            <w:r>
              <w:rPr>
                <w:b/>
                <w:sz w:val="17"/>
              </w:rPr>
              <w:t>Chemical &amp; Equipment Vendors</w:t>
            </w:r>
          </w:p>
        </w:tc>
        <w:tc>
          <w:tcPr>
            <w:tcW w:type="dxa" w:w="3312"/>
            <w:shd w:fill="FFFFFF"/>
            <w:tcMar>
              <w:top w:w="120" w:type="dxa"/>
              <w:bottom w:w="120" w:type="dxa"/>
              <w:left w:w="180" w:type="dxa"/>
              <w:right w:w="180" w:type="dxa"/>
            </w:tcMar>
          </w:tcPr>
          <w:p>
            <w:r>
              <w:rPr>
                <w:sz w:val="17"/>
              </w:rPr>
              <w:t>Accurate purchasing specifications, safe handling, timely payments.</w:t>
            </w:r>
          </w:p>
        </w:tc>
        <w:tc>
          <w:tcPr>
            <w:tcW w:type="dxa" w:w="3312"/>
            <w:shd w:fill="FFFFFF"/>
            <w:tcMar>
              <w:top w:w="120" w:type="dxa"/>
              <w:bottom w:w="120" w:type="dxa"/>
              <w:left w:w="180" w:type="dxa"/>
              <w:right w:w="180" w:type="dxa"/>
            </w:tcMar>
          </w:tcPr>
          <w:p>
            <w:r>
              <w:rPr>
                <w:sz w:val="17"/>
              </w:rPr>
              <w:t>Approved Vendor Registry, verified SDS sheets on file, standardized equipment use logs.</w:t>
            </w:r>
          </w:p>
        </w:tc>
      </w:tr>
    </w:tbl>
    <w:p>
      <w:pPr>
        <w:pStyle w:val="Heading1"/>
      </w:pPr>
      <w:r>
        <w:rPr>
          <w:color w:val="003366"/>
        </w:rPr>
        <w:t>5.0 Leadership &amp; Governance (Clause 5)</w:t>
      </w:r>
    </w:p>
    <w:tbl>
      <w:tblPr>
        <w:tblW w:type="auto" w:w="0"/>
        <w:jc w:val="center"/>
        <w:tblLook w:firstColumn="1" w:firstRow="1" w:lastColumn="0" w:lastRow="0" w:noHBand="0" w:noVBand="1" w:val="04A0"/>
      </w:tblPr>
      <w:tblGrid>
        <w:gridCol w:w="9936"/>
      </w:tblGrid>
      <w:tr>
        <w:tc>
          <w:tcPr>
            <w:tcW w:type="dxa" w:w="9792"/>
            <w:shd w:fill="F1F5F9"/>
            <w:tcMar>
              <w:top w:w="180" w:type="dxa"/>
              <w:bottom w:w="180" w:type="dxa"/>
              <w:left w:w="240" w:type="dxa"/>
              <w:right w:w="240" w:type="dxa"/>
            </w:tcMar>
          </w:tcPr>
          <w:p>
            <w:r>
              <w:rPr>
                <w:b/>
                <w:color w:val="003366"/>
                <w:sz w:val="22"/>
              </w:rPr>
              <w:t>OFFICIAL CORPORATE QUALITY POLICY STATEMENT (ISO 9001:2015 Clause 5.2)</w:t>
              <w:br/>
            </w:r>
          </w:p>
          <w:p>
            <w:r>
              <w:rPr>
                <w:i/>
                <w:sz w:val="20"/>
              </w:rPr>
              <w:t>"HWB Cleaning Services LLC is dedicated to providing flawless, verifiable commercial and institutional cleaning services that protect public health, safeguard physical infrastructure, and exceed client expectations. We achieve operational excellence by training disciplined technicians, enforcing strict safety controls, eliminating waste through Lean Six Sigma principles, and continually improving our Quality Management System."</w:t>
            </w:r>
          </w:p>
          <w:p>
            <w:r>
              <w:rPr>
                <w:b/>
                <w:sz w:val="19"/>
              </w:rPr>
              <w:br/>
              <w:t>Humberto Dominguez</w:t>
              <w:br/>
              <w:t>Chief Executive Officer, HWB Cleaning Services LLC</w:t>
              <w:br/>
              <w:t>Approved &amp; Effective: September 21, 2026</w:t>
            </w:r>
          </w:p>
        </w:tc>
      </w:tr>
    </w:tbl>
    <w:p>
      <w:pPr>
        <w:spacing w:after="160"/>
      </w:pPr>
    </w:p>
    <w:p>
      <w:pPr>
        <w:pStyle w:val="Heading1"/>
      </w:pPr>
      <w:r>
        <w:rPr>
          <w:color w:val="003366"/>
        </w:rPr>
        <w:t>6.0 Planning &amp; Measurable Quality Objectives (Clause 6)</w:t>
      </w:r>
    </w:p>
    <w:p>
      <w:r>
        <w:t>HWB applies ISO 31000 risk management guidelines to evaluate operational, commercial, and safety risks. Top management has established measurable quality targets for the 2026/2027 operational cycle:</w:t>
      </w:r>
    </w:p>
    <w:tbl>
      <w:tblPr>
        <w:tblW w:type="auto" w:w="0"/>
        <w:jc w:val="center"/>
        <w:tblLook w:firstColumn="1" w:firstRow="1" w:lastColumn="0" w:lastRow="0" w:noHBand="0" w:noVBand="1" w:val="04A0"/>
      </w:tblPr>
      <w:tblGrid>
        <w:gridCol w:w="2484"/>
        <w:gridCol w:w="2484"/>
        <w:gridCol w:w="2484"/>
        <w:gridCol w:w="2484"/>
      </w:tblGrid>
      <w:tr>
        <w:tc>
          <w:tcPr>
            <w:tcW w:type="dxa" w:w="2484"/>
            <w:shd w:fill="003366"/>
            <w:tcMar>
              <w:top w:w="120" w:type="dxa"/>
              <w:bottom w:w="120" w:type="dxa"/>
              <w:left w:w="180" w:type="dxa"/>
              <w:right w:w="180" w:type="dxa"/>
            </w:tcMar>
          </w:tcPr>
          <w:p>
            <w:r>
              <w:rPr>
                <w:b/>
                <w:color w:val="FFFFFF"/>
                <w:sz w:val="18"/>
              </w:rPr>
              <w:t>Quality Objective</w:t>
            </w:r>
          </w:p>
        </w:tc>
        <w:tc>
          <w:tcPr>
            <w:tcW w:type="dxa" w:w="2484"/>
            <w:shd w:fill="003366"/>
            <w:tcMar>
              <w:top w:w="120" w:type="dxa"/>
              <w:bottom w:w="120" w:type="dxa"/>
              <w:left w:w="180" w:type="dxa"/>
              <w:right w:w="180" w:type="dxa"/>
            </w:tcMar>
          </w:tcPr>
          <w:p>
            <w:r>
              <w:rPr>
                <w:b/>
                <w:color w:val="FFFFFF"/>
                <w:sz w:val="18"/>
              </w:rPr>
              <w:t>Target Metric</w:t>
            </w:r>
          </w:p>
        </w:tc>
        <w:tc>
          <w:tcPr>
            <w:tcW w:type="dxa" w:w="2484"/>
            <w:shd w:fill="003366"/>
            <w:tcMar>
              <w:top w:w="120" w:type="dxa"/>
              <w:bottom w:w="120" w:type="dxa"/>
              <w:left w:w="180" w:type="dxa"/>
              <w:right w:w="180" w:type="dxa"/>
            </w:tcMar>
          </w:tcPr>
          <w:p>
            <w:r>
              <w:rPr>
                <w:b/>
                <w:color w:val="FFFFFF"/>
                <w:sz w:val="18"/>
              </w:rPr>
              <w:t>Monitoring Method</w:t>
            </w:r>
          </w:p>
        </w:tc>
        <w:tc>
          <w:tcPr>
            <w:tcW w:type="dxa" w:w="2484"/>
            <w:shd w:fill="003366"/>
            <w:tcMar>
              <w:top w:w="120" w:type="dxa"/>
              <w:bottom w:w="120" w:type="dxa"/>
              <w:left w:w="180" w:type="dxa"/>
              <w:right w:w="180" w:type="dxa"/>
            </w:tcMar>
          </w:tcPr>
          <w:p>
            <w:r>
              <w:rPr>
                <w:b/>
                <w:color w:val="FFFFFF"/>
                <w:sz w:val="18"/>
              </w:rPr>
              <w:t>Responsible Lead</w:t>
            </w:r>
          </w:p>
        </w:tc>
      </w:tr>
      <w:tr>
        <w:tc>
          <w:tcPr>
            <w:tcW w:type="dxa" w:w="2484"/>
            <w:shd w:fill="FFFFFF"/>
            <w:tcMar>
              <w:top w:w="120" w:type="dxa"/>
              <w:bottom w:w="120" w:type="dxa"/>
              <w:left w:w="180" w:type="dxa"/>
              <w:right w:w="180" w:type="dxa"/>
            </w:tcMar>
          </w:tcPr>
          <w:p>
            <w:r>
              <w:rPr>
                <w:b/>
                <w:sz w:val="17"/>
              </w:rPr>
              <w:t>Workplace Safety</w:t>
            </w:r>
          </w:p>
        </w:tc>
        <w:tc>
          <w:tcPr>
            <w:tcW w:type="dxa" w:w="2484"/>
            <w:shd w:fill="FFFFFF"/>
            <w:tcMar>
              <w:top w:w="120" w:type="dxa"/>
              <w:bottom w:w="120" w:type="dxa"/>
              <w:left w:w="180" w:type="dxa"/>
              <w:right w:w="180" w:type="dxa"/>
            </w:tcMar>
          </w:tcPr>
          <w:p>
            <w:r>
              <w:rPr>
                <w:b/>
                <w:sz w:val="17"/>
              </w:rPr>
              <w:t>0.00 TRIR (Zero injuries)</w:t>
            </w:r>
          </w:p>
        </w:tc>
        <w:tc>
          <w:tcPr>
            <w:tcW w:type="dxa" w:w="2484"/>
            <w:shd w:fill="FFFFFF"/>
            <w:tcMar>
              <w:top w:w="120" w:type="dxa"/>
              <w:bottom w:w="120" w:type="dxa"/>
              <w:left w:w="180" w:type="dxa"/>
              <w:right w:w="180" w:type="dxa"/>
            </w:tcMar>
          </w:tcPr>
          <w:p>
            <w:r>
              <w:rPr>
                <w:sz w:val="17"/>
              </w:rPr>
              <w:t>Daily site JHAs &amp; monthly safety audits</w:t>
            </w:r>
          </w:p>
        </w:tc>
        <w:tc>
          <w:tcPr>
            <w:tcW w:type="dxa" w:w="2484"/>
            <w:shd w:fill="FFFFFF"/>
            <w:tcMar>
              <w:top w:w="120" w:type="dxa"/>
              <w:bottom w:w="120" w:type="dxa"/>
              <w:left w:w="180" w:type="dxa"/>
              <w:right w:w="180" w:type="dxa"/>
            </w:tcMar>
          </w:tcPr>
          <w:p>
            <w:r>
              <w:rPr>
                <w:sz w:val="17"/>
              </w:rPr>
              <w:t>Safety Manager</w:t>
            </w:r>
          </w:p>
        </w:tc>
      </w:tr>
      <w:tr>
        <w:tc>
          <w:tcPr>
            <w:tcW w:type="dxa" w:w="2484"/>
            <w:shd w:fill="F8FAFC"/>
            <w:tcMar>
              <w:top w:w="120" w:type="dxa"/>
              <w:bottom w:w="120" w:type="dxa"/>
              <w:left w:w="180" w:type="dxa"/>
              <w:right w:w="180" w:type="dxa"/>
            </w:tcMar>
          </w:tcPr>
          <w:p>
            <w:r>
              <w:rPr>
                <w:b/>
                <w:sz w:val="17"/>
              </w:rPr>
              <w:t>Service Delivery Pass Rate</w:t>
            </w:r>
          </w:p>
        </w:tc>
        <w:tc>
          <w:tcPr>
            <w:tcW w:type="dxa" w:w="2484"/>
            <w:shd w:fill="F8FAFC"/>
            <w:tcMar>
              <w:top w:w="120" w:type="dxa"/>
              <w:bottom w:w="120" w:type="dxa"/>
              <w:left w:w="180" w:type="dxa"/>
              <w:right w:w="180" w:type="dxa"/>
            </w:tcMar>
          </w:tcPr>
          <w:p>
            <w:r>
              <w:rPr>
                <w:b/>
                <w:sz w:val="17"/>
              </w:rPr>
              <w:t>&gt;= 99.2% first-pass score</w:t>
            </w:r>
          </w:p>
        </w:tc>
        <w:tc>
          <w:tcPr>
            <w:tcW w:type="dxa" w:w="2484"/>
            <w:shd w:fill="F8FAFC"/>
            <w:tcMar>
              <w:top w:w="120" w:type="dxa"/>
              <w:bottom w:w="120" w:type="dxa"/>
              <w:left w:w="180" w:type="dxa"/>
              <w:right w:w="180" w:type="dxa"/>
            </w:tcMar>
          </w:tcPr>
          <w:p>
            <w:r>
              <w:rPr>
                <w:sz w:val="17"/>
              </w:rPr>
              <w:t>Supervisor Inspection Checklists</w:t>
            </w:r>
          </w:p>
        </w:tc>
        <w:tc>
          <w:tcPr>
            <w:tcW w:type="dxa" w:w="2484"/>
            <w:shd w:fill="F8FAFC"/>
            <w:tcMar>
              <w:top w:w="120" w:type="dxa"/>
              <w:bottom w:w="120" w:type="dxa"/>
              <w:left w:w="180" w:type="dxa"/>
              <w:right w:w="180" w:type="dxa"/>
            </w:tcMar>
          </w:tcPr>
          <w:p>
            <w:r>
              <w:rPr>
                <w:sz w:val="17"/>
              </w:rPr>
              <w:t>Operations Leads</w:t>
            </w:r>
          </w:p>
        </w:tc>
      </w:tr>
      <w:tr>
        <w:tc>
          <w:tcPr>
            <w:tcW w:type="dxa" w:w="2484"/>
            <w:shd w:fill="FFFFFF"/>
            <w:tcMar>
              <w:top w:w="120" w:type="dxa"/>
              <w:bottom w:w="120" w:type="dxa"/>
              <w:left w:w="180" w:type="dxa"/>
              <w:right w:w="180" w:type="dxa"/>
            </w:tcMar>
          </w:tcPr>
          <w:p>
            <w:r>
              <w:rPr>
                <w:b/>
                <w:sz w:val="17"/>
              </w:rPr>
              <w:t>Client Issue Response Time</w:t>
            </w:r>
          </w:p>
        </w:tc>
        <w:tc>
          <w:tcPr>
            <w:tcW w:type="dxa" w:w="2484"/>
            <w:shd w:fill="FFFFFF"/>
            <w:tcMar>
              <w:top w:w="120" w:type="dxa"/>
              <w:bottom w:w="120" w:type="dxa"/>
              <w:left w:w="180" w:type="dxa"/>
              <w:right w:w="180" w:type="dxa"/>
            </w:tcMar>
          </w:tcPr>
          <w:p>
            <w:r>
              <w:rPr>
                <w:b/>
                <w:sz w:val="17"/>
              </w:rPr>
              <w:t>&lt; 24 Hours to resolution</w:t>
            </w:r>
          </w:p>
        </w:tc>
        <w:tc>
          <w:tcPr>
            <w:tcW w:type="dxa" w:w="2484"/>
            <w:shd w:fill="FFFFFF"/>
            <w:tcMar>
              <w:top w:w="120" w:type="dxa"/>
              <w:bottom w:w="120" w:type="dxa"/>
              <w:left w:w="180" w:type="dxa"/>
              <w:right w:w="180" w:type="dxa"/>
            </w:tcMar>
          </w:tcPr>
          <w:p>
            <w:r>
              <w:rPr>
                <w:sz w:val="17"/>
              </w:rPr>
              <w:t>Backoffice Ticket Core</w:t>
            </w:r>
          </w:p>
        </w:tc>
        <w:tc>
          <w:tcPr>
            <w:tcW w:type="dxa" w:w="2484"/>
            <w:shd w:fill="FFFFFF"/>
            <w:tcMar>
              <w:top w:w="120" w:type="dxa"/>
              <w:bottom w:w="120" w:type="dxa"/>
              <w:left w:w="180" w:type="dxa"/>
              <w:right w:w="180" w:type="dxa"/>
            </w:tcMar>
          </w:tcPr>
          <w:p>
            <w:r>
              <w:rPr>
                <w:sz w:val="17"/>
              </w:rPr>
              <w:t>CRM Specialist</w:t>
            </w:r>
          </w:p>
        </w:tc>
      </w:tr>
      <w:tr>
        <w:tc>
          <w:tcPr>
            <w:tcW w:type="dxa" w:w="2484"/>
            <w:shd w:fill="F8FAFC"/>
            <w:tcMar>
              <w:top w:w="120" w:type="dxa"/>
              <w:bottom w:w="120" w:type="dxa"/>
              <w:left w:w="180" w:type="dxa"/>
              <w:right w:w="180" w:type="dxa"/>
            </w:tcMar>
          </w:tcPr>
          <w:p>
            <w:r>
              <w:rPr>
                <w:b/>
                <w:sz w:val="17"/>
              </w:rPr>
              <w:t>Corrective Action Closure</w:t>
            </w:r>
          </w:p>
        </w:tc>
        <w:tc>
          <w:tcPr>
            <w:tcW w:type="dxa" w:w="2484"/>
            <w:shd w:fill="F8FAFC"/>
            <w:tcMar>
              <w:top w:w="120" w:type="dxa"/>
              <w:bottom w:w="120" w:type="dxa"/>
              <w:left w:w="180" w:type="dxa"/>
              <w:right w:w="180" w:type="dxa"/>
            </w:tcMar>
          </w:tcPr>
          <w:p>
            <w:r>
              <w:rPr>
                <w:b/>
                <w:sz w:val="17"/>
              </w:rPr>
              <w:t>100% closed in 14 days</w:t>
            </w:r>
          </w:p>
        </w:tc>
        <w:tc>
          <w:tcPr>
            <w:tcW w:type="dxa" w:w="2484"/>
            <w:shd w:fill="F8FAFC"/>
            <w:tcMar>
              <w:top w:w="120" w:type="dxa"/>
              <w:bottom w:w="120" w:type="dxa"/>
              <w:left w:w="180" w:type="dxa"/>
              <w:right w:w="180" w:type="dxa"/>
            </w:tcMar>
          </w:tcPr>
          <w:p>
            <w:r>
              <w:rPr>
                <w:sz w:val="17"/>
              </w:rPr>
              <w:t>Monthly Friction Log Review</w:t>
            </w:r>
          </w:p>
        </w:tc>
        <w:tc>
          <w:tcPr>
            <w:tcW w:type="dxa" w:w="2484"/>
            <w:shd w:fill="F8FAFC"/>
            <w:tcMar>
              <w:top w:w="120" w:type="dxa"/>
              <w:bottom w:w="120" w:type="dxa"/>
              <w:left w:w="180" w:type="dxa"/>
              <w:right w:w="180" w:type="dxa"/>
            </w:tcMar>
          </w:tcPr>
          <w:p>
            <w:r>
              <w:rPr>
                <w:sz w:val="17"/>
              </w:rPr>
              <w:t>Quality Manager (George)</w:t>
            </w:r>
          </w:p>
        </w:tc>
      </w:tr>
      <w:tr>
        <w:tc>
          <w:tcPr>
            <w:tcW w:type="dxa" w:w="2484"/>
            <w:shd w:fill="FFFFFF"/>
            <w:tcMar>
              <w:top w:w="120" w:type="dxa"/>
              <w:bottom w:w="120" w:type="dxa"/>
              <w:left w:w="180" w:type="dxa"/>
              <w:right w:w="180" w:type="dxa"/>
            </w:tcMar>
          </w:tcPr>
          <w:p>
            <w:r>
              <w:rPr>
                <w:b/>
                <w:sz w:val="17"/>
              </w:rPr>
              <w:t>Document Integrity</w:t>
            </w:r>
          </w:p>
        </w:tc>
        <w:tc>
          <w:tcPr>
            <w:tcW w:type="dxa" w:w="2484"/>
            <w:shd w:fill="FFFFFF"/>
            <w:tcMar>
              <w:top w:w="120" w:type="dxa"/>
              <w:bottom w:w="120" w:type="dxa"/>
              <w:left w:w="180" w:type="dxa"/>
              <w:right w:w="180" w:type="dxa"/>
            </w:tcMar>
          </w:tcPr>
          <w:p>
            <w:r>
              <w:rPr>
                <w:b/>
                <w:sz w:val="17"/>
              </w:rPr>
              <w:t>100% compliance; 0 outdated</w:t>
            </w:r>
          </w:p>
        </w:tc>
        <w:tc>
          <w:tcPr>
            <w:tcW w:type="dxa" w:w="2484"/>
            <w:shd w:fill="FFFFFF"/>
            <w:tcMar>
              <w:top w:w="120" w:type="dxa"/>
              <w:bottom w:w="120" w:type="dxa"/>
              <w:left w:w="180" w:type="dxa"/>
              <w:right w:w="180" w:type="dxa"/>
            </w:tcMar>
          </w:tcPr>
          <w:p>
            <w:r>
              <w:rPr>
                <w:sz w:val="17"/>
              </w:rPr>
              <w:t>Automated Catalog Audits</w:t>
            </w:r>
          </w:p>
        </w:tc>
        <w:tc>
          <w:tcPr>
            <w:tcW w:type="dxa" w:w="2484"/>
            <w:shd w:fill="FFFFFF"/>
            <w:tcMar>
              <w:top w:w="120" w:type="dxa"/>
              <w:bottom w:w="120" w:type="dxa"/>
              <w:left w:w="180" w:type="dxa"/>
              <w:right w:w="180" w:type="dxa"/>
            </w:tcMar>
          </w:tcPr>
          <w:p>
            <w:r>
              <w:rPr>
                <w:sz w:val="17"/>
              </w:rPr>
              <w:t>Systems Architect (George)</w:t>
            </w:r>
          </w:p>
        </w:tc>
      </w:tr>
    </w:tbl>
    <w:p>
      <w:pPr>
        <w:pStyle w:val="Heading1"/>
      </w:pPr>
      <w:r>
        <w:rPr>
          <w:color w:val="003366"/>
        </w:rPr>
        <w:t>7.0 Support &amp; Resources (Clause 7)</w:t>
      </w:r>
    </w:p>
    <w:p>
      <w:r>
        <w:t>HWB maintains strict resource controls across technology, field equipment, chemicals, and personnel competence. Workforce intake is governed by standardized public intake validation (PROC-002 phone masking) and an automated Candidate Pool (ATS). All worker Personally Identifiable Information (SSN/ITIN, Direct Deposit Banking) is safeguarded by the Sensitive PII Vault Protocol (SEC-001: AES-256 Fernet column encryption, deterministic key derivation, ephemeral client-side reveal, and zero-plaintext API serialization, fulfilling Texas Bus. &amp; Com. Code § 521.053 safe harbor standards). All procedures are maintained in HTML format following HWB-QMS-1.0 v2.0 standards, version-controlled, and stored in HWB-COMPANY/HWB-QMS/.</w:t>
      </w:r>
    </w:p>
    <w:p>
      <w:pPr>
        <w:pStyle w:val="Heading1"/>
      </w:pPr>
      <w:r>
        <w:rPr>
          <w:color w:val="003366"/>
        </w:rPr>
        <w:t>8.0 Operation &amp; Service Delivery (Clause 8)</w:t>
      </w:r>
    </w:p>
    <w:p>
      <w:r>
        <w:t>Service execution is governed by standardized Work Orders and blueprinted Scopes of Work managed in the Operations Hub (/admin/operations). Dispatching synchronizes field shifts, gate access codes, and sub-contractor allocations through the Bosanna Prime Contractor Cockpit. Field crews undergo badging, background checks, and weapon-free verification when servicing public agency facilities (NTTA Toll Operations, Collin College campuses). Technicians who fail compliance, background checks, or safety certifications are immediately barred from dispatch via the Automated Security Lockout Protocol. If a defect is identified, immediate re-cleaning is performed and tracked.</w:t>
      </w:r>
    </w:p>
    <w:p>
      <w:pPr>
        <w:pStyle w:val="Heading1"/>
      </w:pPr>
      <w:r>
        <w:rPr>
          <w:color w:val="003366"/>
        </w:rPr>
        <w:t>9.0 Performance Evaluation (Clause 9)</w:t>
      </w:r>
    </w:p>
    <w:p>
      <w:r>
        <w:t>Performance is evaluated through supervisor walkthroughs, client feedback telemetry, quarterly internal audits led by George (mbB), and an annual Executive Management Review chaired by CEO Humberto Dominguez. Systemic integrity and data access are permanently recorded in the immutable GlobalActivities audit log. Disaster recovery and business continuity are strictly enforced under the Continuous Recovery Mandate (HWB-QMS-9.3) through Peter's 6 Recovery Directives, hourly database snapshots, and automated dependency validation.</w:t>
      </w:r>
    </w:p>
    <w:p>
      <w:pPr>
        <w:pStyle w:val="Heading1"/>
      </w:pPr>
      <w:r>
        <w:rPr>
          <w:color w:val="003366"/>
        </w:rPr>
        <w:t>10.0 Continual Improvement &amp; Corrective Action (Clause 10)</w:t>
      </w:r>
    </w:p>
    <w:p>
      <w:r>
        <w:t>HWB employs the Plan-Do-Check-Act (PDCA) cycle to drive continual improvement. All operational frictions, equipment breakdowns, and customer inquiries are logged into PROBLEMS-TO-SOLVE.md and embedded into PostgreSQL vector storage to prevent recurrence.</w:t>
      </w:r>
    </w:p>
    <w:p>
      <w:pPr>
        <w:pStyle w:val="Heading1"/>
      </w:pPr>
      <w:r>
        <w:rPr>
          <w:color w:val="003366"/>
        </w:rPr>
        <w:t>11.0 Revision History</w:t>
      </w:r>
    </w:p>
    <w:tbl>
      <w:tblPr>
        <w:tblW w:type="auto" w:w="0"/>
        <w:jc w:val="center"/>
        <w:tblLook w:firstColumn="1" w:firstRow="1" w:lastColumn="0" w:lastRow="0" w:noHBand="0" w:noVBand="1" w:val="04A0"/>
      </w:tblPr>
      <w:tblGrid>
        <w:gridCol w:w="2484"/>
        <w:gridCol w:w="2484"/>
        <w:gridCol w:w="2484"/>
        <w:gridCol w:w="2484"/>
      </w:tblGrid>
      <w:tr>
        <w:tc>
          <w:tcPr>
            <w:tcW w:type="dxa" w:w="2484"/>
            <w:shd w:fill="003366"/>
            <w:tcMar>
              <w:top w:w="120" w:type="dxa"/>
              <w:bottom w:w="120" w:type="dxa"/>
              <w:left w:w="180" w:type="dxa"/>
              <w:right w:w="180" w:type="dxa"/>
            </w:tcMar>
          </w:tcPr>
          <w:p>
            <w:r>
              <w:rPr>
                <w:b/>
                <w:color w:val="FFFFFF"/>
                <w:sz w:val="18"/>
              </w:rPr>
              <w:t>Version</w:t>
            </w:r>
          </w:p>
        </w:tc>
        <w:tc>
          <w:tcPr>
            <w:tcW w:type="dxa" w:w="2484"/>
            <w:shd w:fill="003366"/>
            <w:tcMar>
              <w:top w:w="120" w:type="dxa"/>
              <w:bottom w:w="120" w:type="dxa"/>
              <w:left w:w="180" w:type="dxa"/>
              <w:right w:w="180" w:type="dxa"/>
            </w:tcMar>
          </w:tcPr>
          <w:p>
            <w:r>
              <w:rPr>
                <w:b/>
                <w:color w:val="FFFFFF"/>
                <w:sz w:val="18"/>
              </w:rPr>
              <w:t>Date</w:t>
            </w:r>
          </w:p>
        </w:tc>
        <w:tc>
          <w:tcPr>
            <w:tcW w:type="dxa" w:w="2484"/>
            <w:shd w:fill="003366"/>
            <w:tcMar>
              <w:top w:w="120" w:type="dxa"/>
              <w:bottom w:w="120" w:type="dxa"/>
              <w:left w:w="180" w:type="dxa"/>
              <w:right w:w="180" w:type="dxa"/>
            </w:tcMar>
          </w:tcPr>
          <w:p>
            <w:r>
              <w:rPr>
                <w:b/>
                <w:color w:val="FFFFFF"/>
                <w:sz w:val="18"/>
              </w:rPr>
              <w:t>Author</w:t>
            </w:r>
          </w:p>
        </w:tc>
        <w:tc>
          <w:tcPr>
            <w:tcW w:type="dxa" w:w="2484"/>
            <w:shd w:fill="003366"/>
            <w:tcMar>
              <w:top w:w="120" w:type="dxa"/>
              <w:bottom w:w="120" w:type="dxa"/>
              <w:left w:w="180" w:type="dxa"/>
              <w:right w:w="180" w:type="dxa"/>
            </w:tcMar>
          </w:tcPr>
          <w:p>
            <w:r>
              <w:rPr>
                <w:b/>
                <w:color w:val="FFFFFF"/>
                <w:sz w:val="18"/>
              </w:rPr>
              <w:t>Change Description</w:t>
            </w:r>
          </w:p>
        </w:tc>
      </w:tr>
      <w:tr>
        <w:tc>
          <w:tcPr>
            <w:tcW w:type="dxa" w:w="2484"/>
            <w:shd w:fill="FFFFFF"/>
            <w:tcMar>
              <w:top w:w="120" w:type="dxa"/>
              <w:bottom w:w="120" w:type="dxa"/>
              <w:left w:w="180" w:type="dxa"/>
              <w:right w:w="180" w:type="dxa"/>
            </w:tcMar>
          </w:tcPr>
          <w:p>
            <w:r>
              <w:rPr>
                <w:b/>
                <w:sz w:val="17"/>
              </w:rPr>
              <w:t>1.0.0</w:t>
            </w:r>
          </w:p>
        </w:tc>
        <w:tc>
          <w:tcPr>
            <w:tcW w:type="dxa" w:w="2484"/>
            <w:shd w:fill="FFFFFF"/>
            <w:tcMar>
              <w:top w:w="120" w:type="dxa"/>
              <w:bottom w:w="120" w:type="dxa"/>
              <w:left w:w="180" w:type="dxa"/>
              <w:right w:w="180" w:type="dxa"/>
            </w:tcMar>
          </w:tcPr>
          <w:p>
            <w:r>
              <w:rPr>
                <w:sz w:val="17"/>
              </w:rPr>
              <w:t>02/21/2026</w:t>
            </w:r>
          </w:p>
        </w:tc>
        <w:tc>
          <w:tcPr>
            <w:tcW w:type="dxa" w:w="2484"/>
            <w:shd w:fill="FFFFFF"/>
            <w:tcMar>
              <w:top w:w="120" w:type="dxa"/>
              <w:bottom w:w="120" w:type="dxa"/>
              <w:left w:w="180" w:type="dxa"/>
              <w:right w:w="180" w:type="dxa"/>
            </w:tcMar>
          </w:tcPr>
          <w:p>
            <w:r>
              <w:rPr>
                <w:sz w:val="17"/>
              </w:rPr>
              <w:t>Gemini</w:t>
            </w:r>
          </w:p>
        </w:tc>
        <w:tc>
          <w:tcPr>
            <w:tcW w:type="dxa" w:w="2484"/>
            <w:shd w:fill="FFFFFF"/>
            <w:tcMar>
              <w:top w:w="120" w:type="dxa"/>
              <w:bottom w:w="120" w:type="dxa"/>
              <w:left w:w="180" w:type="dxa"/>
              <w:right w:w="180" w:type="dxa"/>
            </w:tcMar>
          </w:tcPr>
          <w:p>
            <w:r>
              <w:rPr>
                <w:sz w:val="17"/>
              </w:rPr>
              <w:t>Initial Markdown Release.</w:t>
            </w:r>
          </w:p>
        </w:tc>
      </w:tr>
      <w:tr>
        <w:tc>
          <w:tcPr>
            <w:tcW w:type="dxa" w:w="2484"/>
            <w:shd w:fill="F8FAFC"/>
            <w:tcMar>
              <w:top w:w="120" w:type="dxa"/>
              <w:bottom w:w="120" w:type="dxa"/>
              <w:left w:w="180" w:type="dxa"/>
              <w:right w:w="180" w:type="dxa"/>
            </w:tcMar>
          </w:tcPr>
          <w:p>
            <w:r>
              <w:rPr>
                <w:b/>
                <w:sz w:val="17"/>
              </w:rPr>
              <w:t>2.0.0</w:t>
            </w:r>
          </w:p>
        </w:tc>
        <w:tc>
          <w:tcPr>
            <w:tcW w:type="dxa" w:w="2484"/>
            <w:shd w:fill="F8FAFC"/>
            <w:tcMar>
              <w:top w:w="120" w:type="dxa"/>
              <w:bottom w:w="120" w:type="dxa"/>
              <w:left w:w="180" w:type="dxa"/>
              <w:right w:w="180" w:type="dxa"/>
            </w:tcMar>
          </w:tcPr>
          <w:p>
            <w:r>
              <w:rPr>
                <w:sz w:val="17"/>
              </w:rPr>
              <w:t>06/23/2026</w:t>
            </w:r>
          </w:p>
        </w:tc>
        <w:tc>
          <w:tcPr>
            <w:tcW w:type="dxa" w:w="2484"/>
            <w:shd w:fill="F8FAFC"/>
            <w:tcMar>
              <w:top w:w="120" w:type="dxa"/>
              <w:bottom w:w="120" w:type="dxa"/>
              <w:left w:w="180" w:type="dxa"/>
              <w:right w:w="180" w:type="dxa"/>
            </w:tcMar>
          </w:tcPr>
          <w:p>
            <w:r>
              <w:rPr>
                <w:sz w:val="17"/>
              </w:rPr>
              <w:t>George</w:t>
            </w:r>
          </w:p>
        </w:tc>
        <w:tc>
          <w:tcPr>
            <w:tcW w:type="dxa" w:w="2484"/>
            <w:shd w:fill="F8FAFC"/>
            <w:tcMar>
              <w:top w:w="120" w:type="dxa"/>
              <w:bottom w:w="120" w:type="dxa"/>
              <w:left w:w="180" w:type="dxa"/>
              <w:right w:w="180" w:type="dxa"/>
            </w:tcMar>
          </w:tcPr>
          <w:p>
            <w:r>
              <w:rPr>
                <w:sz w:val="17"/>
              </w:rPr>
              <w:t>Modernized to HTML format, Everyday Words standard, and basic ISO 9001 alignment.</w:t>
            </w:r>
          </w:p>
        </w:tc>
      </w:tr>
      <w:tr>
        <w:tc>
          <w:tcPr>
            <w:tcW w:type="dxa" w:w="2484"/>
            <w:shd w:fill="FFFFFF"/>
            <w:tcMar>
              <w:top w:w="120" w:type="dxa"/>
              <w:bottom w:w="120" w:type="dxa"/>
              <w:left w:w="180" w:type="dxa"/>
              <w:right w:w="180" w:type="dxa"/>
            </w:tcMar>
          </w:tcPr>
          <w:p>
            <w:r>
              <w:rPr>
                <w:b/>
                <w:sz w:val="17"/>
              </w:rPr>
              <w:t>2.1.0</w:t>
            </w:r>
          </w:p>
        </w:tc>
        <w:tc>
          <w:tcPr>
            <w:tcW w:type="dxa" w:w="2484"/>
            <w:shd w:fill="FFFFFF"/>
            <w:tcMar>
              <w:top w:w="120" w:type="dxa"/>
              <w:bottom w:w="120" w:type="dxa"/>
              <w:left w:w="180" w:type="dxa"/>
              <w:right w:w="180" w:type="dxa"/>
            </w:tcMar>
          </w:tcPr>
          <w:p>
            <w:r>
              <w:rPr>
                <w:sz w:val="17"/>
              </w:rPr>
              <w:t>07/24/2026</w:t>
            </w:r>
          </w:p>
        </w:tc>
        <w:tc>
          <w:tcPr>
            <w:tcW w:type="dxa" w:w="2484"/>
            <w:shd w:fill="FFFFFF"/>
            <w:tcMar>
              <w:top w:w="120" w:type="dxa"/>
              <w:bottom w:w="120" w:type="dxa"/>
              <w:left w:w="180" w:type="dxa"/>
              <w:right w:w="180" w:type="dxa"/>
            </w:tcMar>
          </w:tcPr>
          <w:p>
            <w:r>
              <w:rPr>
                <w:sz w:val="17"/>
              </w:rPr>
              <w:t>George</w:t>
            </w:r>
          </w:p>
        </w:tc>
        <w:tc>
          <w:tcPr>
            <w:tcW w:type="dxa" w:w="2484"/>
            <w:shd w:fill="FFFFFF"/>
            <w:tcMar>
              <w:top w:w="120" w:type="dxa"/>
              <w:bottom w:w="120" w:type="dxa"/>
              <w:left w:w="180" w:type="dxa"/>
              <w:right w:w="180" w:type="dxa"/>
            </w:tcMar>
          </w:tcPr>
          <w:p>
            <w:r>
              <w:rPr>
                <w:sz w:val="17"/>
              </w:rPr>
              <w:t>Added Everyday Words Mandate (no jargon) and Pre-Handover Verification rules.</w:t>
            </w:r>
          </w:p>
        </w:tc>
      </w:tr>
      <w:tr>
        <w:tc>
          <w:tcPr>
            <w:tcW w:type="dxa" w:w="2484"/>
            <w:shd w:fill="F8FAFC"/>
            <w:tcMar>
              <w:top w:w="120" w:type="dxa"/>
              <w:bottom w:w="120" w:type="dxa"/>
              <w:left w:w="180" w:type="dxa"/>
              <w:right w:w="180" w:type="dxa"/>
            </w:tcMar>
          </w:tcPr>
          <w:p>
            <w:r>
              <w:rPr>
                <w:b/>
                <w:sz w:val="17"/>
              </w:rPr>
              <w:t>3.0.0</w:t>
            </w:r>
          </w:p>
        </w:tc>
        <w:tc>
          <w:tcPr>
            <w:tcW w:type="dxa" w:w="2484"/>
            <w:shd w:fill="F8FAFC"/>
            <w:tcMar>
              <w:top w:w="120" w:type="dxa"/>
              <w:bottom w:w="120" w:type="dxa"/>
              <w:left w:w="180" w:type="dxa"/>
              <w:right w:w="180" w:type="dxa"/>
            </w:tcMar>
          </w:tcPr>
          <w:p>
            <w:r>
              <w:rPr>
                <w:sz w:val="17"/>
              </w:rPr>
              <w:t>09/21/2026</w:t>
            </w:r>
          </w:p>
        </w:tc>
        <w:tc>
          <w:tcPr>
            <w:tcW w:type="dxa" w:w="2484"/>
            <w:shd w:fill="F8FAFC"/>
            <w:tcMar>
              <w:top w:w="120" w:type="dxa"/>
              <w:bottom w:w="120" w:type="dxa"/>
              <w:left w:w="180" w:type="dxa"/>
              <w:right w:w="180" w:type="dxa"/>
            </w:tcMar>
          </w:tcPr>
          <w:p>
            <w:r>
              <w:rPr>
                <w:sz w:val="17"/>
              </w:rPr>
              <w:t>George (Systems Architect)</w:t>
            </w:r>
          </w:p>
        </w:tc>
        <w:tc>
          <w:tcPr>
            <w:tcW w:type="dxa" w:w="2484"/>
            <w:shd w:fill="F8FAFC"/>
            <w:tcMar>
              <w:top w:w="120" w:type="dxa"/>
              <w:bottom w:w="120" w:type="dxa"/>
              <w:left w:w="180" w:type="dxa"/>
              <w:right w:w="180" w:type="dxa"/>
            </w:tcMar>
          </w:tcPr>
          <w:p>
            <w:r>
              <w:rPr>
                <w:sz w:val="17"/>
              </w:rPr>
              <w:t>Full 10-Clause ISO 9001:2015 Enterprise Expansion: added Interested Parties Matrix (4.2), formal signed Quality Policy (5.2), Measurable Quality Objectives (6.2), Support &amp; Operation governance (7.0, 8.0), Performance Evaluation &amp; Audit Calendar (9.0), and Appendix A SOP Matrix. Approved by Humberto Dominguez, CEO.</w:t>
            </w:r>
          </w:p>
        </w:tc>
      </w:tr>
      <w:tr>
        <w:tc>
          <w:tcPr>
            <w:tcW w:type="dxa" w:w="2484"/>
            <w:shd w:fill="FFFFFF"/>
            <w:tcMar>
              <w:top w:w="120" w:type="dxa"/>
              <w:bottom w:w="120" w:type="dxa"/>
              <w:left w:w="180" w:type="dxa"/>
              <w:right w:w="180" w:type="dxa"/>
            </w:tcMar>
          </w:tcPr>
          <w:p>
            <w:r>
              <w:rPr>
                <w:b/>
                <w:sz w:val="17"/>
              </w:rPr>
              <w:t>3.1.0</w:t>
            </w:r>
          </w:p>
        </w:tc>
        <w:tc>
          <w:tcPr>
            <w:tcW w:type="dxa" w:w="2484"/>
            <w:shd w:fill="FFFFFF"/>
            <w:tcMar>
              <w:top w:w="120" w:type="dxa"/>
              <w:bottom w:w="120" w:type="dxa"/>
              <w:left w:w="180" w:type="dxa"/>
              <w:right w:w="180" w:type="dxa"/>
            </w:tcMar>
          </w:tcPr>
          <w:p>
            <w:r>
              <w:rPr>
                <w:sz w:val="17"/>
              </w:rPr>
              <w:t>09/21/2026</w:t>
            </w:r>
          </w:p>
        </w:tc>
        <w:tc>
          <w:tcPr>
            <w:tcW w:type="dxa" w:w="2484"/>
            <w:shd w:fill="FFFFFF"/>
            <w:tcMar>
              <w:top w:w="120" w:type="dxa"/>
              <w:bottom w:w="120" w:type="dxa"/>
              <w:left w:w="180" w:type="dxa"/>
              <w:right w:w="180" w:type="dxa"/>
            </w:tcMar>
          </w:tcPr>
          <w:p>
            <w:r>
              <w:rPr>
                <w:sz w:val="17"/>
              </w:rPr>
              <w:t>George (Systems Architect)</w:t>
            </w:r>
          </w:p>
        </w:tc>
        <w:tc>
          <w:tcPr>
            <w:tcW w:type="dxa" w:w="2484"/>
            <w:shd w:fill="FFFFFF"/>
            <w:tcMar>
              <w:top w:w="120" w:type="dxa"/>
              <w:bottom w:w="120" w:type="dxa"/>
              <w:left w:w="180" w:type="dxa"/>
              <w:right w:w="180" w:type="dxa"/>
            </w:tcMar>
          </w:tcPr>
          <w:p>
            <w:r>
              <w:rPr>
                <w:sz w:val="17"/>
              </w:rPr>
              <w:t>Integrated Sensitive PII Vault Protocol (SEC-001 AES-256 Fernet encryption, Texas Bus. &amp; Com. Code § 521.053 safe harbor), ATS Candidate Pool, Operations Hub Dispatching, Bosanna Cockpit sync, and Continuous Disaster Recovery Mandate. Approved by Humberto Dominguez, CEO.</w:t>
            </w:r>
          </w:p>
        </w:tc>
      </w:tr>
    </w:tbl>
    <w:sectPr w:rsidR="00FC693F" w:rsidRPr="0006063C" w:rsidSect="00034616">
      <w:headerReference w:type="default" r:id="rId9"/>
      <w:footerReference w:type="default" r:id="rId10"/>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475569"/>
        <w:sz w:val="16"/>
      </w:rPr>
      <w:t>HWB-QMS-MASTER v3.1.0  |  Controlled Document  |  Humberto Dominguez, CEO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475569"/>
        <w:sz w:val="16"/>
      </w:rPr>
      <w:t>HWB CLEANING SERVICES LLC  |  QUALITY MANAGEMENT SYSTEM (ISO 9001:2015)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